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F3864" w:sz="6" w:space="4"/>
        </w:pBdr>
        <w:spacing w:after="40"/>
      </w:pPr>
      <w:r>
        <w:rPr>
          <w:rFonts w:ascii="Calibri" w:cs="Calibri" w:eastAsia="Calibri" w:hAnsi="Calibri"/>
          <w:b/>
          <w:bCs/>
          <w:color w:val="1F3864"/>
          <w:sz w:val="30"/>
          <w:szCs w:val="30"/>
        </w:rPr>
        <w:t xml:space="preserve">Architectuur werkafspraken</w:t>
      </w:r>
    </w:p>
    <w:p>
      <w:pPr>
        <w:spacing w:after="200" w:before="80"/>
      </w:pPr>
      <w:r>
        <w:rPr>
          <w:rFonts w:ascii="Calibri" w:cs="Calibri" w:eastAsia="Calibri" w:hAnsi="Calibri"/>
          <w:b/>
          <w:bCs/>
          <w:color w:val="1F3864"/>
          <w:sz w:val="15"/>
          <w:szCs w:val="15"/>
        </w:rPr>
        <w:t xml:space="preserve">ARCHITECTUURSTURING  ·  </w:t>
      </w:r>
      <w:r>
        <w:rPr>
          <w:rFonts w:ascii="Calibri" w:cs="Calibri" w:eastAsia="Calibri" w:hAnsi="Calibri"/>
          <w:i/>
          <w:iCs/>
          <w:color w:val="767676"/>
          <w:sz w:val="18"/>
          <w:szCs w:val="18"/>
        </w:rPr>
        <w:t xml:space="preserve">De werkafspraken leggen vast wie welke architectuurbeslissing mag nemen, wat de escalatieroute is, en welk ritme de governance-interacties volgen.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600"/>
        <w:gridCol w:w="7038"/>
      </w:tblGrid>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Project</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Versie</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Datum</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bl>
    <w:p>
      <w:pPr>
        <w:spacing w:after="200" w:before="120"/>
      </w:pPr>
      <w:r>
        <w:rPr>
          <w:rFonts w:ascii="Calibri" w:cs="Calibri" w:eastAsia="Calibri" w:hAnsi="Calibri"/>
          <w:i/>
          <w:iCs/>
          <w:color w:val="767676"/>
          <w:sz w:val="17"/>
          <w:szCs w:val="17"/>
        </w:rPr>
        <w:t xml:space="preserve">Het versienummer geeft de status weer, volgens major.minor.patch. 0.y.z is een concept dat nog niet is vastgesteld; 1.0.0 is de eerste vastgestelde versie. Verhoog de patch bij een tekstuele correctie, de minor bij een aanvulling die verenigbaar is met de vorige versie, en de major bij een wijziging die een eerder besluit raakt en dus opnieuw moet worden vastgesteld.</w:t>
      </w:r>
    </w:p>
    <w:p>
      <w:pPr>
        <w:spacing w:after="200" w:before="120"/>
      </w:pPr>
      <w:r>
        <w:rPr>
          <w:rFonts w:ascii="Calibri" w:cs="Calibri" w:eastAsia="Calibri" w:hAnsi="Calibri"/>
          <w:i/>
          <w:iCs/>
          <w:color w:val="767676"/>
          <w:sz w:val="17"/>
          <w:szCs w:val="17"/>
        </w:rPr>
        <w:t xml:space="preserve">Beschrijf niet meer dan nodig is voor het doel van dit stuk. Laat een sectie leeg of verwijder haar wanneer ze in dit geval niets toevoegt.</w:t>
      </w:r>
    </w:p>
    <w:p>
      <w:pPr>
        <w:spacing w:after="20" w:before="260"/>
      </w:pPr>
      <w:r>
        <w:rPr>
          <w:rFonts w:ascii="Calibri" w:cs="Calibri" w:eastAsia="Calibri" w:hAnsi="Calibri"/>
          <w:b/>
          <w:bCs/>
          <w:color w:val="1F3864"/>
          <w:sz w:val="21"/>
          <w:szCs w:val="21"/>
        </w:rPr>
        <w:t xml:space="preserve">Herkomst en gebruik</w:t>
      </w:r>
    </w:p>
    <w:p>
      <w:pPr>
        <w:spacing w:after="60"/>
      </w:pPr>
      <w:r>
        <w:rPr>
          <w:rFonts w:ascii="Calibri" w:cs="Calibri" w:eastAsia="Calibri" w:hAnsi="Calibri"/>
          <w:i/>
          <w:iCs/>
          <w:color w:val="767676"/>
          <w:sz w:val="17"/>
          <w:szCs w:val="17"/>
        </w:rPr>
        <w:t xml:space="preserve">Waar dit werkproduct in de werkwijze vandaan komt en wie het verderop gebruikt. Deze tabel komt uit de methode zelf en hoeft niet te worden ingevuld.</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600"/>
        <w:gridCol w:w="7038"/>
      </w:tblGrid>
      <w:tr>
        <w:tc>
          <w:tcPr>
            <w:tcW w:type="dxa" w:w="260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Ontstaat bij</w:t>
            </w:r>
          </w:p>
        </w:tc>
        <w:tc>
          <w:tcPr>
            <w:tcW w:type="dxa" w:w="703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Richt governance in</w:t>
            </w:r>
          </w:p>
        </w:tc>
      </w:tr>
      <w:tr>
        <w:tc>
          <w:tcPr>
            <w:tcW w:type="dxa" w:w="260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Wordt bijgewerkt door</w:t>
            </w:r>
          </w:p>
        </w:tc>
        <w:tc>
          <w:tcPr>
            <w:tcW w:type="dxa" w:w="703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Stel governance bij</w:t>
            </w:r>
          </w:p>
        </w:tc>
      </w:tr>
      <w:tr>
        <w:tc>
          <w:tcPr>
            <w:tcW w:type="dxa" w:w="260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Wordt gelezen door</w:t>
            </w:r>
          </w:p>
        </w:tc>
        <w:tc>
          <w:tcPr>
            <w:tcW w:type="dxa" w:w="703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Toets werking governance</w:t>
            </w:r>
          </w:p>
        </w:tc>
      </w:tr>
    </w:tbl>
    <w:p>
      <w:pPr>
        <w:spacing w:after="20" w:before="260"/>
      </w:pPr>
      <w:r>
        <w:rPr>
          <w:rFonts w:ascii="Calibri" w:cs="Calibri" w:eastAsia="Calibri" w:hAnsi="Calibri"/>
          <w:b/>
          <w:bCs/>
          <w:color w:val="1F3864"/>
          <w:sz w:val="21"/>
          <w:szCs w:val="21"/>
        </w:rPr>
        <w:t xml:space="preserve">Reikwijdte</w:t>
      </w:r>
    </w:p>
    <w:p>
      <w:pPr>
        <w:spacing w:after="60"/>
      </w:pPr>
      <w:r>
        <w:rPr>
          <w:rFonts w:ascii="Calibri" w:cs="Calibri" w:eastAsia="Calibri" w:hAnsi="Calibri"/>
          <w:i/>
          <w:iCs/>
          <w:color w:val="767676"/>
          <w:sz w:val="17"/>
          <w:szCs w:val="17"/>
        </w:rPr>
        <w:t xml:space="preserve">Voor welke teams, domeinen en soorten beslissingen deze afspraken gelden.</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Afwijkingen op de standaardwerkwijze</w:t>
      </w:r>
    </w:p>
    <w:p>
      <w:pPr>
        <w:spacing w:after="60"/>
      </w:pPr>
      <w:r>
        <w:rPr>
          <w:rFonts w:ascii="Calibri" w:cs="Calibri" w:eastAsia="Calibri" w:hAnsi="Calibri"/>
          <w:i/>
          <w:iCs/>
          <w:color w:val="767676"/>
          <w:sz w:val="17"/>
          <w:szCs w:val="17"/>
        </w:rPr>
        <w:t xml:space="preserve">Welke activiteiten uit de werkwijze hier zijn toegevoegd, samengevoegd of weggelaten, en waarom. Wat hier niet staat, geldt zoals de methode het beschrijft.</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Beslissingsbevoegdheid en escalatiegrens</w:t>
      </w:r>
    </w:p>
    <w:p>
      <w:pPr>
        <w:spacing w:after="60"/>
      </w:pPr>
      <w:r>
        <w:rPr>
          <w:rFonts w:ascii="Calibri" w:cs="Calibri" w:eastAsia="Calibri" w:hAnsi="Calibri"/>
          <w:i/>
          <w:iCs/>
          <w:color w:val="767676"/>
          <w:sz w:val="17"/>
          <w:szCs w:val="17"/>
        </w:rPr>
        <w:t xml:space="preserve">De grens tussen wat een team zelfstandig mag beslissen en wat naar het Architectuurforum gaat. Beschrijf de grens zo scherp dat een team hem zelf kan toepassen.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4"/>
      </w:tblGrid>
      <w:tr>
        <w:trPr>
          <w:tblHeader/>
        </w:trPr>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Soort beslissing</w:t>
            </w:r>
          </w:p>
        </w:tc>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Team beslist zelf</w:t>
            </w:r>
          </w:p>
        </w:tc>
        <w:tc>
          <w:tcPr>
            <w:tcW w:type="dxa" w:w="3214"/>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Naar het forum wanneer</w:t>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Escalatieroute</w:t>
      </w:r>
    </w:p>
    <w:p>
      <w:pPr>
        <w:spacing w:after="60"/>
      </w:pPr>
      <w:r>
        <w:rPr>
          <w:rFonts w:ascii="Calibri" w:cs="Calibri" w:eastAsia="Calibri" w:hAnsi="Calibri"/>
          <w:i/>
          <w:iCs/>
          <w:color w:val="767676"/>
          <w:sz w:val="17"/>
          <w:szCs w:val="17"/>
        </w:rPr>
        <w:t xml:space="preserve">Wat er gebeurt als een keuze buiten de bevoegdheid valt: wie meldt, wie beslist, binnen welke termijn, en wat er gebeurt als die termijn niet wordt gehaald.</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Reviewniveaus</w:t>
      </w:r>
    </w:p>
    <w:p>
      <w:pPr>
        <w:spacing w:after="60"/>
      </w:pPr>
      <w:r>
        <w:rPr>
          <w:rFonts w:ascii="Calibri" w:cs="Calibri" w:eastAsia="Calibri" w:hAnsi="Calibri"/>
          <w:i/>
          <w:iCs/>
          <w:color w:val="767676"/>
          <w:sz w:val="17"/>
          <w:szCs w:val="17"/>
        </w:rPr>
        <w:t xml:space="preserve">Wat de gebruikte niveaus hier betekenen: wie er aan tafel zit, hoeveel doorlooptijd het kost en wat het oplevert. Gebruik vier niveaus — formeel met externen, formeel intern, informeel, en geen review — en beschrijf ze zo dat een team vooraf weet waar het aan toe is.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09"/>
        <w:gridCol w:w="2409"/>
        <w:gridCol w:w="2409"/>
        <w:gridCol w:w="2411"/>
      </w:tblGrid>
      <w:tr>
        <w:trPr>
          <w:tblHeader/>
        </w:trPr>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Niveau</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Wie beoordeelt</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Doorlooptijd</w:t>
            </w:r>
          </w:p>
        </w:tc>
        <w:tc>
          <w:tcPr>
            <w:tcW w:type="dxa" w:w="2411"/>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Uitkomst</w:t>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Werkproducten en hun gebruik</w:t>
      </w:r>
    </w:p>
    <w:p>
      <w:pPr>
        <w:spacing w:after="60"/>
      </w:pPr>
      <w:r>
        <w:rPr>
          <w:rFonts w:ascii="Calibri" w:cs="Calibri" w:eastAsia="Calibri" w:hAnsi="Calibri"/>
          <w:i/>
          <w:iCs/>
          <w:color w:val="767676"/>
          <w:sz w:val="17"/>
          <w:szCs w:val="17"/>
        </w:rPr>
        <w:t xml:space="preserve">Per werkproduct of het verplicht is, hoe zwaar het wordt beoordeeld en welk sjabloon erbij hoort. Gebruik voor de verplichting vier klassen: verplicht, verwacht, mag, en niet. Zo weet een team zonder te vragen wat er van hem wordt verlangd.</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09"/>
        <w:gridCol w:w="2409"/>
        <w:gridCol w:w="2409"/>
        <w:gridCol w:w="2411"/>
      </w:tblGrid>
      <w:tr>
        <w:trPr>
          <w:tblHeader/>
        </w:trPr>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Werkproduct</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Verplichting</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Reviewniveau</w:t>
            </w:r>
          </w:p>
        </w:tc>
        <w:tc>
          <w:tcPr>
            <w:tcW w:type="dxa" w:w="2411"/>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Sjabloon of hulpmiddel</w:t>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Werkproducten die we bewust niet gebruiken</w:t>
      </w:r>
    </w:p>
    <w:p>
      <w:pPr>
        <w:spacing w:after="60"/>
      </w:pPr>
      <w:r>
        <w:rPr>
          <w:rFonts w:ascii="Calibri" w:cs="Calibri" w:eastAsia="Calibri" w:hAnsi="Calibri"/>
          <w:i/>
          <w:iCs/>
          <w:color w:val="767676"/>
          <w:sz w:val="17"/>
          <w:szCs w:val="17"/>
        </w:rPr>
        <w:t xml:space="preserve">Wat uit de werkwijze hier niet wordt opgeleverd, met de reden erbij. Zonder deze lijst blijft een overgeslagen werkproduct een omissie; mét deze lijst is het een besluit waarop iemand aanspreekbaar is.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4"/>
      </w:tblGrid>
      <w:tr>
        <w:trPr>
          <w:tblHeader/>
        </w:trPr>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Werkproduct</w:t>
            </w:r>
          </w:p>
        </w:tc>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Besluit</w:t>
            </w:r>
          </w:p>
        </w:tc>
        <w:tc>
          <w:tcPr>
            <w:tcW w:type="dxa" w:w="3214"/>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Reden</w:t>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Rollen en wie ze vervult</w:t>
      </w:r>
    </w:p>
    <w:p>
      <w:pPr>
        <w:spacing w:after="60"/>
      </w:pPr>
      <w:r>
        <w:rPr>
          <w:rFonts w:ascii="Calibri" w:cs="Calibri" w:eastAsia="Calibri" w:hAnsi="Calibri"/>
          <w:i/>
          <w:iCs/>
          <w:color w:val="767676"/>
          <w:sz w:val="17"/>
          <w:szCs w:val="17"/>
        </w:rPr>
        <w:t xml:space="preserve">Welke functie in de organisatie welke rol uit de werkwijze vervult. Een rol is geen functie: één persoon kan meerdere rollen dragen en één rol kan over meerdere mensen verdeeld zijn. Juist daarom moet het hier staan.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09"/>
        <w:gridCol w:w="2409"/>
        <w:gridCol w:w="2409"/>
        <w:gridCol w:w="2411"/>
      </w:tblGrid>
      <w:tr>
        <w:trPr>
          <w:tblHeader/>
        </w:trPr>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Rol in de werkwijze</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Functie</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Wie</w:t>
            </w:r>
          </w:p>
        </w:tc>
        <w:tc>
          <w:tcPr>
            <w:tcW w:type="dxa" w:w="2411"/>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Vervanger</w:t>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Cadans van het Architectuurforum</w:t>
      </w:r>
    </w:p>
    <w:p>
      <w:pPr>
        <w:spacing w:after="60"/>
      </w:pPr>
      <w:r>
        <w:rPr>
          <w:rFonts w:ascii="Calibri" w:cs="Calibri" w:eastAsia="Calibri" w:hAnsi="Calibri"/>
          <w:i/>
          <w:iCs/>
          <w:color w:val="767676"/>
          <w:sz w:val="17"/>
          <w:szCs w:val="17"/>
        </w:rPr>
        <w:t xml:space="preserve">Hoe vaak het forum bijeenkomt, wie er zitting in heeft, en wanneer er tussentijds kan worden besloten.</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Een onderwerp aanmelden</w:t>
      </w:r>
    </w:p>
    <w:p>
      <w:pPr>
        <w:spacing w:after="60"/>
      </w:pPr>
      <w:r>
        <w:rPr>
          <w:rFonts w:ascii="Calibri" w:cs="Calibri" w:eastAsia="Calibri" w:hAnsi="Calibri"/>
          <w:i/>
          <w:iCs/>
          <w:color w:val="767676"/>
          <w:sz w:val="17"/>
          <w:szCs w:val="17"/>
        </w:rPr>
        <w:t xml:space="preserve">De lichte route om iets op de agenda te krijgen: waar, met welke informatie, en hoe lang van tevoren. Houd de drempel laag.</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Objectives voor de governance zelf</w:t>
      </w:r>
    </w:p>
    <w:p>
      <w:pPr>
        <w:spacing w:after="60"/>
      </w:pPr>
      <w:r>
        <w:rPr>
          <w:rFonts w:ascii="Calibri" w:cs="Calibri" w:eastAsia="Calibri" w:hAnsi="Calibri"/>
          <w:i/>
          <w:iCs/>
          <w:color w:val="767676"/>
          <w:sz w:val="17"/>
          <w:szCs w:val="17"/>
        </w:rPr>
        <w:t xml:space="preserve">Waaraan de governance zich later laat afrekenen — bijvoorbeeld dat conforme beslissingen geen vertraging ondervinden, of dat escalaties binnen een vaste termijn zijn afgehandeld. Toets werking governance meet hierop.</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4"/>
      </w:tblGrid>
      <w:tr>
        <w:trPr>
          <w:tblHeader/>
        </w:trPr>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Objective</w:t>
            </w:r>
          </w:p>
        </w:tc>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Waaraan af te lezen</w:t>
            </w:r>
          </w:p>
        </w:tc>
        <w:tc>
          <w:tcPr>
            <w:tcW w:type="dxa" w:w="3214"/>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Norm</w:t>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Wat bewust niet wordt getoetst</w:t>
      </w:r>
    </w:p>
    <w:p>
      <w:pPr>
        <w:spacing w:after="60"/>
      </w:pPr>
      <w:r>
        <w:rPr>
          <w:rFonts w:ascii="Calibri" w:cs="Calibri" w:eastAsia="Calibri" w:hAnsi="Calibri"/>
          <w:i/>
          <w:iCs/>
          <w:color w:val="767676"/>
          <w:sz w:val="17"/>
          <w:szCs w:val="17"/>
        </w:rPr>
        <w:t xml:space="preserve">Waar de governance zich buiten houdt. Dit voorkomt dat het forum volloopt met keuzes die er niet thuishoren.</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Herziening en supersessie</w:t>
      </w:r>
    </w:p>
    <w:p>
      <w:pPr>
        <w:spacing w:after="60"/>
      </w:pPr>
      <w:r>
        <w:rPr>
          <w:rFonts w:ascii="Calibri" w:cs="Calibri" w:eastAsia="Calibri" w:hAnsi="Calibri"/>
          <w:i/>
          <w:iCs/>
          <w:color w:val="767676"/>
          <w:sz w:val="17"/>
          <w:szCs w:val="17"/>
        </w:rPr>
        <w:t xml:space="preserve">Wanneer de afspraken worden herzien en hoe een nieuwe versie de oude zichtbaar vervangt.</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Gereed wanneer</w:t>
      </w:r>
    </w:p>
    <w:p>
      <w:pPr>
        <w:pStyle w:val="ListParagraph"/>
        <w:numPr>
          <w:ilvl w:val="0"/>
          <w:numId w:val="2"/>
        </w:numPr>
        <w:spacing w:after="20"/>
      </w:pPr>
      <w:r>
        <w:rPr>
          <w:rFonts w:ascii="Calibri" w:cs="Calibri" w:eastAsia="Calibri" w:hAnsi="Calibri"/>
          <w:sz w:val="20"/>
          <w:szCs w:val="20"/>
        </w:rPr>
        <w:t xml:space="preserve">Een team kan zelf bepalen of een beslissing naar het forum moet.</w:t>
      </w:r>
    </w:p>
    <w:p>
      <w:pPr>
        <w:pStyle w:val="ListParagraph"/>
        <w:numPr>
          <w:ilvl w:val="0"/>
          <w:numId w:val="2"/>
        </w:numPr>
        <w:spacing w:after="20"/>
      </w:pPr>
      <w:r>
        <w:rPr>
          <w:rFonts w:ascii="Calibri" w:cs="Calibri" w:eastAsia="Calibri" w:hAnsi="Calibri"/>
          <w:sz w:val="20"/>
          <w:szCs w:val="20"/>
        </w:rPr>
        <w:t xml:space="preserve">Van elk werkproduct is bekend of het verplicht is en hoe zwaar het wordt beoordeeld.</w:t>
      </w:r>
    </w:p>
    <w:p>
      <w:pPr>
        <w:pStyle w:val="ListParagraph"/>
        <w:numPr>
          <w:ilvl w:val="0"/>
          <w:numId w:val="2"/>
        </w:numPr>
        <w:spacing w:after="20"/>
      </w:pPr>
      <w:r>
        <w:rPr>
          <w:rFonts w:ascii="Calibri" w:cs="Calibri" w:eastAsia="Calibri" w:hAnsi="Calibri"/>
          <w:sz w:val="20"/>
          <w:szCs w:val="20"/>
        </w:rPr>
        <w:t xml:space="preserve">Wat bewust niet wordt opgeleverd, staat met reden vastgelegd.</w:t>
      </w:r>
    </w:p>
    <w:p>
      <w:pPr>
        <w:pStyle w:val="ListParagraph"/>
        <w:numPr>
          <w:ilvl w:val="0"/>
          <w:numId w:val="2"/>
        </w:numPr>
        <w:spacing w:after="20"/>
      </w:pPr>
      <w:r>
        <w:rPr>
          <w:rFonts w:ascii="Calibri" w:cs="Calibri" w:eastAsia="Calibri" w:hAnsi="Calibri"/>
          <w:sz w:val="20"/>
          <w:szCs w:val="20"/>
        </w:rPr>
        <w:t xml:space="preserve">Elk reviewniveau heeft een doorlooptijd.</w:t>
      </w:r>
    </w:p>
    <w:p>
      <w:pPr>
        <w:pStyle w:val="ListParagraph"/>
        <w:numPr>
          <w:ilvl w:val="0"/>
          <w:numId w:val="2"/>
        </w:numPr>
        <w:spacing w:after="20"/>
      </w:pPr>
      <w:r>
        <w:rPr>
          <w:rFonts w:ascii="Calibri" w:cs="Calibri" w:eastAsia="Calibri" w:hAnsi="Calibri"/>
          <w:sz w:val="20"/>
          <w:szCs w:val="20"/>
        </w:rPr>
        <w:t xml:space="preserve">Van elke rol is bekend wie hem vervult en wie invalt.</w:t>
      </w:r>
    </w:p>
    <w:p>
      <w:pPr>
        <w:pStyle w:val="ListParagraph"/>
        <w:numPr>
          <w:ilvl w:val="0"/>
          <w:numId w:val="2"/>
        </w:numPr>
        <w:spacing w:after="20"/>
      </w:pPr>
      <w:r>
        <w:rPr>
          <w:rFonts w:ascii="Calibri" w:cs="Calibri" w:eastAsia="Calibri" w:hAnsi="Calibri"/>
          <w:sz w:val="20"/>
          <w:szCs w:val="20"/>
        </w:rPr>
        <w:t xml:space="preserve">De escalatieroute heeft een termijn.</w:t>
      </w:r>
    </w:p>
    <w:p>
      <w:pPr>
        <w:pStyle w:val="ListParagraph"/>
        <w:numPr>
          <w:ilvl w:val="0"/>
          <w:numId w:val="2"/>
        </w:numPr>
        <w:spacing w:after="20"/>
      </w:pPr>
      <w:r>
        <w:rPr>
          <w:rFonts w:ascii="Calibri" w:cs="Calibri" w:eastAsia="Calibri" w:hAnsi="Calibri"/>
          <w:sz w:val="20"/>
          <w:szCs w:val="20"/>
        </w:rPr>
        <w:t xml:space="preserve">De cadans en de aanmeldroute liggen vast.</w:t>
      </w:r>
    </w:p>
    <w:p>
      <w:pPr>
        <w:pStyle w:val="ListParagraph"/>
        <w:numPr>
          <w:ilvl w:val="0"/>
          <w:numId w:val="2"/>
        </w:numPr>
        <w:spacing w:after="20"/>
      </w:pPr>
      <w:r>
        <w:rPr>
          <w:rFonts w:ascii="Calibri" w:cs="Calibri" w:eastAsia="Calibri" w:hAnsi="Calibri"/>
          <w:sz w:val="20"/>
          <w:szCs w:val="20"/>
        </w:rPr>
        <w:t xml:space="preserve">Elke objective heeft een norm die te meten is.</w:t>
      </w:r>
    </w:p>
    <w:p>
      <w:pPr>
        <w:pStyle w:val="ListParagraph"/>
        <w:numPr>
          <w:ilvl w:val="0"/>
          <w:numId w:val="2"/>
        </w:numPr>
        <w:spacing w:after="20"/>
      </w:pPr>
      <w:r>
        <w:rPr>
          <w:rFonts w:ascii="Calibri" w:cs="Calibri" w:eastAsia="Calibri" w:hAnsi="Calibri"/>
          <w:sz w:val="20"/>
          <w:szCs w:val="20"/>
        </w:rPr>
        <w:t xml:space="preserve">Vastgelegd is waar de governance zich buiten houdt.</w:t>
      </w:r>
    </w:p>
    <w:sectPr>
      <w:footerReference w:type="default" r:id="rId7"/>
      <w:pgSz w:w="11906" w:h="16838" w:orient="portrait"/>
      <w:pgMar w:top="1133" w:right="1133" w:bottom="1020" w:left="113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2" w:space="4"/>
      </w:pBdr>
      <w:jc w:val="right"/>
    </w:pPr>
    <w:r>
      <w:rPr>
        <w:rFonts w:ascii="Calibri" w:cs="Calibri" w:eastAsia="Calibri" w:hAnsi="Calibri"/>
        <w:color w:val="767676"/>
        <w:sz w:val="15"/>
        <w:szCs w:val="15"/>
      </w:rPr>
      <w:t xml:space="preserve">Architectuur werkafspraken  ·  sjabloon  ·  </w:t>
    </w:r>
    <w:r>
      <w:rPr>
        <w:rFonts w:ascii="Calibri" w:cs="Calibri" w:eastAsia="Calibri" w:hAnsi="Calibri"/>
        <w:color w:val="767676"/>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Architectuurvisie</dc:title>
  <dc:creator>Essence werkwijze</dc:creator>
  <cp:lastModifiedBy>Un-named</cp:lastModifiedBy>
  <cp:revision>1</cp:revision>
  <dcterms:created xsi:type="dcterms:W3CDTF">2026-08-14T21:17:56.420Z</dcterms:created>
  <dcterms:modified xsi:type="dcterms:W3CDTF">2026-08-14T21:17:56.420Z</dcterms:modified>
</cp:coreProperties>
</file>

<file path=docProps/custom.xml><?xml version="1.0" encoding="utf-8"?>
<Properties xmlns="http://schemas.openxmlformats.org/officeDocument/2006/custom-properties" xmlns:vt="http://schemas.openxmlformats.org/officeDocument/2006/docPropsVTypes"/>
</file>