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Reviewresultaten</w:t>
      </w:r>
    </w:p>
    <w:p>
      <w:pPr>
        <w:spacing w:after="200" w:before="80"/>
      </w:pPr>
      <w:r>
        <w:rPr>
          <w:rFonts w:ascii="Calibri" w:cs="Calibri" w:eastAsia="Calibri" w:hAnsi="Calibri"/>
          <w:b/>
          <w:bCs/>
          <w:color w:val="1F3864"/>
          <w:sz w:val="15"/>
          <w:szCs w:val="15"/>
        </w:rPr>
        <w:t xml:space="preserve">ARCHITECTUURSTURING  ·  </w:t>
      </w:r>
      <w:r>
        <w:rPr>
          <w:rFonts w:ascii="Calibri" w:cs="Calibri" w:eastAsia="Calibri" w:hAnsi="Calibri"/>
          <w:i/>
          <w:iCs/>
          <w:color w:val="767676"/>
          <w:sz w:val="18"/>
          <w:szCs w:val="18"/>
        </w:rPr>
        <w:t xml:space="preserve">Een reviewresultaat legt vast of een concreet geval voldoet aan de afgesproken drivers, principes en paved-road-normen — conform, met condities, of als toegestane uitzondering.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Getoetst object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 getoetst object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Getoetst door</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Beslisser</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Bestuur levering</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Toets werking governance</w:t>
            </w:r>
          </w:p>
        </w:tc>
      </w:tr>
    </w:tbl>
    <w:p>
      <w:pPr>
        <w:spacing w:after="20" w:before="260"/>
      </w:pPr>
      <w:r>
        <w:rPr>
          <w:rFonts w:ascii="Calibri" w:cs="Calibri" w:eastAsia="Calibri" w:hAnsi="Calibri"/>
          <w:b/>
          <w:bCs/>
          <w:color w:val="1F3864"/>
          <w:sz w:val="21"/>
          <w:szCs w:val="21"/>
        </w:rPr>
        <w:t xml:space="preserve">Wat is getoetst</w:t>
      </w:r>
    </w:p>
    <w:p>
      <w:pPr>
        <w:spacing w:after="60"/>
      </w:pPr>
      <w:r>
        <w:rPr>
          <w:rFonts w:ascii="Calibri" w:cs="Calibri" w:eastAsia="Calibri" w:hAnsi="Calibri"/>
          <w:i/>
          <w:iCs/>
          <w:color w:val="767676"/>
          <w:sz w:val="17"/>
          <w:szCs w:val="17"/>
        </w:rPr>
        <w:t xml:space="preserve">Het systeem, product, de leverancier, interface of het besluit dat is beoordeeld. Benoem het zo dat er geen verwarring over kan bestaan welk geval dit betreft, en zet erbij welke versie of baseline op tafel lag — een oordeel zonder versie is later niet meer te plaatsen.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Waaraan is getoetst</w:t>
      </w:r>
    </w:p>
    <w:p>
      <w:pPr>
        <w:spacing w:after="60"/>
      </w:pPr>
      <w:r>
        <w:rPr>
          <w:rFonts w:ascii="Calibri" w:cs="Calibri" w:eastAsia="Calibri" w:hAnsi="Calibri"/>
          <w:i/>
          <w:iCs/>
          <w:color w:val="767676"/>
          <w:sz w:val="17"/>
          <w:szCs w:val="17"/>
        </w:rPr>
        <w:t xml:space="preserve">Tegen welke paved-road-items, principes en drivers is gehouden. Alleen de criteria die daadwerkelijk zijn toegepast, met de versie waarin ze golden.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Wat er sinds de vorige toetsing is veranderd</w:t>
      </w:r>
    </w:p>
    <w:p>
      <w:pPr>
        <w:spacing w:after="60"/>
      </w:pPr>
      <w:r>
        <w:rPr>
          <w:rFonts w:ascii="Calibri" w:cs="Calibri" w:eastAsia="Calibri" w:hAnsi="Calibri"/>
          <w:i/>
          <w:iCs/>
          <w:color w:val="767676"/>
          <w:sz w:val="17"/>
          <w:szCs w:val="17"/>
        </w:rPr>
        <w:t xml:space="preserve">Wat er buiten dit geval om is verschoven: gewijzigde eisen, nieuwe regelgeving, een aangepast principe, een paved-road-item met een andere status. Laat leeg bij een eerste toetsing.</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Bevindingen</w:t>
      </w:r>
    </w:p>
    <w:p>
      <w:pPr>
        <w:spacing w:after="60"/>
      </w:pPr>
      <w:r>
        <w:rPr>
          <w:rFonts w:ascii="Calibri" w:cs="Calibri" w:eastAsia="Calibri" w:hAnsi="Calibri"/>
          <w:i/>
          <w:iCs/>
          <w:color w:val="767676"/>
          <w:sz w:val="17"/>
          <w:szCs w:val="17"/>
        </w:rPr>
        <w:t xml:space="preserve">Per bevinding waar ze op slaat, hoe zwaar ze weegt en wat ermee gebeurt. Bevindingen zonder eigenaar verdwijnen.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6"/>
        <w:gridCol w:w="1606"/>
        <w:gridCol w:w="1606"/>
        <w:gridCol w:w="1606"/>
        <w:gridCol w:w="1606"/>
        <w:gridCol w:w="1608"/>
      </w:tblGrid>
      <w:tr>
        <w:trPr>
          <w:tblHeader/>
        </w:trPr>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Bevinding</w:t>
            </w:r>
          </w:p>
        </w:tc>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Ernst</w:t>
            </w:r>
          </w:p>
        </w:tc>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Actie</w:t>
            </w:r>
          </w:p>
        </w:tc>
        <w:tc>
          <w:tcPr>
            <w:tcW w:type="dxa" w:w="1606"/>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Eigenaar</w:t>
            </w:r>
          </w:p>
        </w:tc>
        <w:tc>
          <w:tcPr>
            <w:tcW w:type="dxa" w:w="1608"/>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Uiterlijk</w:t>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6"/>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60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Oordeel</w:t>
      </w:r>
    </w:p>
    <w:p>
      <w:pPr>
        <w:spacing w:after="60"/>
      </w:pPr>
      <w:r>
        <w:rPr>
          <w:rFonts w:ascii="Calibri" w:cs="Calibri" w:eastAsia="Calibri" w:hAnsi="Calibri"/>
          <w:i/>
          <w:iCs/>
          <w:color w:val="767676"/>
          <w:sz w:val="17"/>
          <w:szCs w:val="17"/>
        </w:rPr>
        <w:t xml:space="preserve">Conform, conform met condities, afgekeurd, of uitzondering toegestaan. Eén oordeel, met de onderbouwing erbij.</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Condities</w:t>
      </w:r>
    </w:p>
    <w:p>
      <w:pPr>
        <w:spacing w:after="60"/>
      </w:pPr>
      <w:r>
        <w:rPr>
          <w:rFonts w:ascii="Calibri" w:cs="Calibri" w:eastAsia="Calibri" w:hAnsi="Calibri"/>
          <w:i/>
          <w:iCs/>
          <w:color w:val="767676"/>
          <w:sz w:val="17"/>
          <w:szCs w:val="17"/>
        </w:rPr>
        <w:t xml:space="preserve">Als het oordeel condities kent: welke, en wat er gebeurt als er niet aan wordt voldaan. Laat leeg bij een onvoorwaardelijk oordeel.</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Geldigheid en herbeoordeling</w:t>
      </w:r>
    </w:p>
    <w:p>
      <w:pPr>
        <w:spacing w:after="60"/>
      </w:pPr>
      <w:r>
        <w:rPr>
          <w:rFonts w:ascii="Calibri" w:cs="Calibri" w:eastAsia="Calibri" w:hAnsi="Calibri"/>
          <w:i/>
          <w:iCs/>
          <w:color w:val="767676"/>
          <w:sz w:val="17"/>
          <w:szCs w:val="17"/>
        </w:rPr>
        <w:t xml:space="preserve">Tot wanneer dit oordeel geldt en op welke datum opnieuw moet worden beoordeeld.</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Signaal voor de governance</w:t>
      </w:r>
    </w:p>
    <w:p>
      <w:pPr>
        <w:spacing w:after="60"/>
      </w:pPr>
      <w:r>
        <w:rPr>
          <w:rFonts w:ascii="Calibri" w:cs="Calibri" w:eastAsia="Calibri" w:hAnsi="Calibri"/>
          <w:i/>
          <w:iCs/>
          <w:color w:val="767676"/>
          <w:sz w:val="17"/>
          <w:szCs w:val="17"/>
        </w:rPr>
        <w:t xml:space="preserve">Wat dit geval zegt over de werkwijze zelf — een principe dat vaak wordt omzeild, een paved-road-item dat niet voldoet. Toets werking governance telt deze signalen op.</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Optelling over de periode</w:t>
      </w:r>
    </w:p>
    <w:p>
      <w:pPr>
        <w:spacing w:after="60"/>
      </w:pPr>
      <w:r>
        <w:rPr>
          <w:rFonts w:ascii="Calibri" w:cs="Calibri" w:eastAsia="Calibri" w:hAnsi="Calibri"/>
          <w:i/>
          <w:iCs/>
          <w:color w:val="767676"/>
          <w:sz w:val="17"/>
          <w:szCs w:val="17"/>
        </w:rPr>
        <w:t xml:space="preserve">Alleen invullen bij een periodieke rapportage over meerdere toetsingen. Eén geval zegt weinig; de drie lijnen hieronder laten zien of de governance zelf nog werkt.</w:t>
      </w:r>
    </w:p>
    <w:p>
      <w:pPr>
        <w:spacing w:after="20" w:before="80"/>
      </w:pPr>
      <w:r>
        <w:rPr>
          <w:rFonts w:ascii="Calibri" w:cs="Calibri" w:eastAsia="Calibri" w:hAnsi="Calibri"/>
          <w:b/>
          <w:bCs/>
          <w:color w:val="404040"/>
          <w:sz w:val="18"/>
          <w:szCs w:val="18"/>
        </w:rPr>
        <w:t xml:space="preserve">Doorlooptijd  </w:t>
      </w:r>
      <w:r>
        <w:rPr>
          <w:rFonts w:ascii="Calibri" w:cs="Calibri" w:eastAsia="Calibri" w:hAnsi="Calibri"/>
          <w:i/>
          <w:iCs/>
          <w:color w:val="767676"/>
          <w:sz w:val="17"/>
          <w:szCs w:val="17"/>
        </w:rPr>
        <w:t xml:space="preserve">hoe lang een toetsing gemiddeld openstond, en waar de uitschieters zaten.</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Verdeling  </w:t>
      </w:r>
      <w:r>
        <w:rPr>
          <w:rFonts w:ascii="Calibri" w:cs="Calibri" w:eastAsia="Calibri" w:hAnsi="Calibri"/>
          <w:i/>
          <w:iCs/>
          <w:color w:val="767676"/>
          <w:sz w:val="17"/>
          <w:szCs w:val="17"/>
        </w:rPr>
        <w:t xml:space="preserve">hoeveel gevallen per oordeel, per domein en per team — waar stapelen de afwijkingen zich op.</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Trend  </w:t>
      </w:r>
      <w:r>
        <w:rPr>
          <w:rFonts w:ascii="Calibri" w:cs="Calibri" w:eastAsia="Calibri" w:hAnsi="Calibri"/>
          <w:i/>
          <w:iCs/>
          <w:color w:val="767676"/>
          <w:sz w:val="17"/>
          <w:szCs w:val="17"/>
        </w:rPr>
        <w:t xml:space="preserve">of het beeld beter of slechter wordt ten opzichte van de vorige periode, en wat die beweging verklaart.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Het getoetste object en de getoetste versie zijn eenduidig.</w:t>
      </w:r>
    </w:p>
    <w:p>
      <w:pPr>
        <w:pStyle w:val="ListParagraph"/>
        <w:numPr>
          <w:ilvl w:val="0"/>
          <w:numId w:val="2"/>
        </w:numPr>
        <w:spacing w:after="20"/>
      </w:pPr>
      <w:r>
        <w:rPr>
          <w:rFonts w:ascii="Calibri" w:cs="Calibri" w:eastAsia="Calibri" w:hAnsi="Calibri"/>
          <w:sz w:val="20"/>
          <w:szCs w:val="20"/>
        </w:rPr>
        <w:t xml:space="preserve">De toegepaste criteria staan erbij, met hun versie.</w:t>
      </w:r>
    </w:p>
    <w:p>
      <w:pPr>
        <w:pStyle w:val="ListParagraph"/>
        <w:numPr>
          <w:ilvl w:val="0"/>
          <w:numId w:val="2"/>
        </w:numPr>
        <w:spacing w:after="20"/>
      </w:pPr>
      <w:r>
        <w:rPr>
          <w:rFonts w:ascii="Calibri" w:cs="Calibri" w:eastAsia="Calibri" w:hAnsi="Calibri"/>
          <w:sz w:val="20"/>
          <w:szCs w:val="20"/>
        </w:rPr>
        <w:t xml:space="preserve">Er is één oordeel, met onderbouwing.</w:t>
      </w:r>
    </w:p>
    <w:p>
      <w:pPr>
        <w:pStyle w:val="ListParagraph"/>
        <w:numPr>
          <w:ilvl w:val="0"/>
          <w:numId w:val="2"/>
        </w:numPr>
        <w:spacing w:after="20"/>
      </w:pPr>
      <w:r>
        <w:rPr>
          <w:rFonts w:ascii="Calibri" w:cs="Calibri" w:eastAsia="Calibri" w:hAnsi="Calibri"/>
          <w:sz w:val="20"/>
          <w:szCs w:val="20"/>
        </w:rPr>
        <w:t xml:space="preserve">Elke bevinding heeft een eigenaar en een termijn.</w:t>
      </w:r>
    </w:p>
    <w:p>
      <w:pPr>
        <w:pStyle w:val="ListParagraph"/>
        <w:numPr>
          <w:ilvl w:val="0"/>
          <w:numId w:val="2"/>
        </w:numPr>
        <w:spacing w:after="20"/>
      </w:pPr>
      <w:r>
        <w:rPr>
          <w:rFonts w:ascii="Calibri" w:cs="Calibri" w:eastAsia="Calibri" w:hAnsi="Calibri"/>
          <w:sz w:val="20"/>
          <w:szCs w:val="20"/>
        </w:rPr>
        <w:t xml:space="preserve">De herbeoordelingsdatum ligt vast.</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Reviewresultaten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