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Use-casemodel</w:t>
      </w:r>
    </w:p>
    <w:p>
      <w:pPr>
        <w:spacing w:after="200" w:before="80"/>
      </w:pPr>
      <w:r>
        <w:rPr>
          <w:rFonts w:ascii="Calibri" w:cs="Calibri" w:eastAsia="Calibri" w:hAnsi="Calibri"/>
          <w:b/>
          <w:bCs/>
          <w:color w:val="1F3864"/>
          <w:sz w:val="15"/>
          <w:szCs w:val="15"/>
        </w:rPr>
        <w:t xml:space="preserve">USE CASES  ·  </w:t>
      </w:r>
      <w:r>
        <w:rPr>
          <w:rFonts w:ascii="Calibri" w:cs="Calibri" w:eastAsia="Calibri" w:hAnsi="Calibri"/>
          <w:i/>
          <w:iCs/>
          <w:color w:val="767676"/>
          <w:sz w:val="18"/>
          <w:szCs w:val="18"/>
        </w:rPr>
        <w:t xml:space="preserve">Het overzicht van alle actoren en use cases van het systeem, met per use case alleen een naam en het beoogde resultaat — het werkproduct dat de systeemgrens en de omvang van het werk begrenst.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Systeem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Opdrachtgever</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Identificeer actoren en use cases</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Specificeer use cases</w:t>
            </w:r>
          </w:p>
        </w:tc>
      </w:tr>
    </w:tbl>
    <w:p>
      <w:pPr>
        <w:spacing w:after="20" w:before="260"/>
      </w:pPr>
      <w:r>
        <w:rPr>
          <w:rFonts w:ascii="Calibri" w:cs="Calibri" w:eastAsia="Calibri" w:hAnsi="Calibri"/>
          <w:b/>
          <w:bCs/>
          <w:color w:val="1F3864"/>
          <w:sz w:val="21"/>
          <w:szCs w:val="21"/>
        </w:rPr>
        <w:t xml:space="preserve">Het systeem en zijn grens</w:t>
      </w:r>
    </w:p>
    <w:p>
      <w:pPr>
        <w:spacing w:after="60"/>
      </w:pPr>
      <w:r>
        <w:rPr>
          <w:rFonts w:ascii="Calibri" w:cs="Calibri" w:eastAsia="Calibri" w:hAnsi="Calibri"/>
          <w:i/>
          <w:iCs/>
          <w:color w:val="767676"/>
          <w:sz w:val="17"/>
          <w:szCs w:val="17"/>
        </w:rPr>
        <w:t xml:space="preserve">Waar dit model over gaat en waar het systeem ophoudt. Alles wat een actor doet valt buiten de grens, alles wat het systeem als antwoord daarop doet valt erbinnen. Zet er de aangrenzende systemen bij waarmee wordt uitgewisseld.</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Wat buiten de grens valt</w:t>
      </w:r>
    </w:p>
    <w:p>
      <w:pPr>
        <w:spacing w:after="60"/>
      </w:pPr>
      <w:r>
        <w:rPr>
          <w:rFonts w:ascii="Calibri" w:cs="Calibri" w:eastAsia="Calibri" w:hAnsi="Calibri"/>
          <w:i/>
          <w:iCs/>
          <w:color w:val="767676"/>
          <w:sz w:val="17"/>
          <w:szCs w:val="17"/>
        </w:rPr>
        <w:t xml:space="preserve">Wat uitdrukkelijk niet door dit systeem wordt gedaan, ook al zou men dat kunnen verwachten. Deze lijst begrenst de omvang van het werk net zo hard als de use cases zelf.</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Actoren</w:t>
      </w:r>
    </w:p>
    <w:p>
      <w:pPr>
        <w:spacing w:after="60"/>
      </w:pPr>
      <w:r>
        <w:rPr>
          <w:rFonts w:ascii="Calibri" w:cs="Calibri" w:eastAsia="Calibri" w:hAnsi="Calibri"/>
          <w:i/>
          <w:iCs/>
          <w:color w:val="767676"/>
          <w:sz w:val="17"/>
          <w:szCs w:val="17"/>
        </w:rPr>
        <w:t xml:space="preserve">Wie of wat met het systeem communiceert: rollen van mensen en andere systemen die het aanroepen of erdoor worden aangeroepen. Wie belang heeft bij de uitkomst maar het systeem niet bedient, is belanghebbende en geen actor — dat onderscheid houdt het model klein.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Actor</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Mens of systeem</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deze doet</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Vertegenwoordigd door</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Use cases</w:t>
      </w:r>
    </w:p>
    <w:p>
      <w:pPr>
        <w:spacing w:after="60"/>
      </w:pPr>
      <w:r>
        <w:rPr>
          <w:rFonts w:ascii="Calibri" w:cs="Calibri" w:eastAsia="Calibri" w:hAnsi="Calibri"/>
          <w:i/>
          <w:iCs/>
          <w:color w:val="767676"/>
          <w:sz w:val="17"/>
          <w:szCs w:val="17"/>
        </w:rPr>
        <w:t xml:space="preserve">Per use case een naam in de vorm werkwoord met lijdend voorwerp, plus het afgeronde resultaat waarna de actor tevreden weg kan lopen. 'Aanvraag indienen' is een use case; 'inloggen' of 'formulier valideren' is dat niet, hoe noodzakelijk ook. Meer dan een naam en een resultaat hoort hier niet: het detail staat in de use-casespecificatie.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Use case</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Primaire actor</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Beoogd resultaat</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Groepering</w:t>
      </w:r>
    </w:p>
    <w:p>
      <w:pPr>
        <w:spacing w:after="60"/>
      </w:pPr>
      <w:r>
        <w:rPr>
          <w:rFonts w:ascii="Calibri" w:cs="Calibri" w:eastAsia="Calibri" w:hAnsi="Calibri"/>
          <w:i/>
          <w:iCs/>
          <w:color w:val="767676"/>
          <w:sz w:val="17"/>
          <w:szCs w:val="17"/>
        </w:rPr>
        <w:t xml:space="preserve">Waar het verheldert: welke use cases bij elkaar horen, per actor of per samenhangend gebruik. Sla over bij een overzichtelijk aantal use cases.</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Use-casediagram</w:t>
      </w:r>
    </w:p>
    <w:p>
      <w:pPr>
        <w:spacing w:after="60"/>
      </w:pPr>
      <w:r>
        <w:rPr>
          <w:rFonts w:ascii="Calibri" w:cs="Calibri" w:eastAsia="Calibri" w:hAnsi="Calibri"/>
          <w:i/>
          <w:iCs/>
          <w:color w:val="767676"/>
          <w:sz w:val="17"/>
          <w:szCs w:val="17"/>
        </w:rPr>
        <w:t xml:space="preserve">Alleen zinvol wanneer het aantal actoren groot is, wanneer meerdere actoren dezelfde use case delen, of wanneer de systeemgrens zelf onderwerp van discussie is en visueel bevestigd moet worden. Voeg het diagram hier in.</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Uitwerkingsvolgorde</w:t>
      </w:r>
    </w:p>
    <w:p>
      <w:pPr>
        <w:spacing w:after="60"/>
      </w:pPr>
      <w:r>
        <w:rPr>
          <w:rFonts w:ascii="Calibri" w:cs="Calibri" w:eastAsia="Calibri" w:hAnsi="Calibri"/>
          <w:i/>
          <w:iCs/>
          <w:color w:val="767676"/>
          <w:sz w:val="17"/>
          <w:szCs w:val="17"/>
        </w:rPr>
        <w:t xml:space="preserve">Per use case vier inschattingen die samen bepalen wat als eerste wordt uitgeschreven: hoeveel de use case oplevert, hoeveel werk hij is, hoeveel risico eraan zit, en hoe stabiel het beeld ervan is. Een use case met veel risico en weinig stabiliteit gaat eerst, ook als hij weinig oplevert — daar zit de onzekerheid die weg moet.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6"/>
        <w:gridCol w:w="1606"/>
        <w:gridCol w:w="1606"/>
        <w:gridCol w:w="1606"/>
        <w:gridCol w:w="1606"/>
        <w:gridCol w:w="1608"/>
      </w:tblGrid>
      <w:tr>
        <w:trPr>
          <w:tblHeader/>
        </w:trPr>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Use case</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Waarde</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Omvang</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Risico</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Stabiliteit</w:t>
            </w:r>
          </w:p>
        </w:tc>
        <w:tc>
          <w:tcPr>
            <w:tcW w:type="dxa" w:w="1608"/>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Uitwerken in</w:t>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Begrippen</w:t>
      </w:r>
    </w:p>
    <w:p>
      <w:pPr>
        <w:spacing w:after="60"/>
      </w:pPr>
      <w:r>
        <w:rPr>
          <w:rFonts w:ascii="Calibri" w:cs="Calibri" w:eastAsia="Calibri" w:hAnsi="Calibri"/>
          <w:i/>
          <w:iCs/>
          <w:color w:val="767676"/>
          <w:sz w:val="17"/>
          <w:szCs w:val="17"/>
        </w:rPr>
        <w:t xml:space="preserve">De termen die in de use cases terugkomen en die niet voor iedereen hetzelfde betekenen. Zonder deze lijst verzuipen de scenario's in uitleg, of erger: lezen twee partijen hetzelfde woord verschillend.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Term</w:t>
            </w:r>
          </w:p>
        </w:tc>
        <w:tc>
          <w:tcPr>
            <w:tcW w:type="dxa" w:w="481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Betekenis hier</w:t>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Openstaande vragen</w:t>
      </w:r>
    </w:p>
    <w:p>
      <w:pPr>
        <w:spacing w:after="60"/>
      </w:pPr>
      <w:r>
        <w:rPr>
          <w:rFonts w:ascii="Calibri" w:cs="Calibri" w:eastAsia="Calibri" w:hAnsi="Calibri"/>
          <w:i/>
          <w:iCs/>
          <w:color w:val="767676"/>
          <w:sz w:val="17"/>
          <w:szCs w:val="17"/>
        </w:rPr>
        <w:t xml:space="preserve">Wat nog onbeslist is en wie het beslist. Een use case waarover de opdrachtgever en de gebruikersvertegenwoordiger het oneens zijn, hoort hier te staan en niet stilzwijgend in de lijst.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Vraag</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Raakt welke use case</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 beslist</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Uiterlijk</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Vaststelling</w:t>
      </w:r>
    </w:p>
    <w:p>
      <w:pPr>
        <w:spacing w:after="60"/>
      </w:pPr>
      <w:r>
        <w:rPr>
          <w:rFonts w:ascii="Calibri" w:cs="Calibri" w:eastAsia="Calibri" w:hAnsi="Calibri"/>
          <w:i/>
          <w:iCs/>
          <w:color w:val="767676"/>
          <w:sz w:val="17"/>
          <w:szCs w:val="17"/>
        </w:rPr>
        <w:t xml:space="preserve">Wie het model heeft bevestigd en wanneer. Zolang de opdrachtgever en de gebruikersvertegenwoordigers de use cases niet herkennen als iets waar zij waarde aan hechten, is de omvang van het werk niet werkelijk begrensd.</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Elke use case levert een afgerond resultaat op voor een actor.</w:t>
      </w:r>
    </w:p>
    <w:p>
      <w:pPr>
        <w:pStyle w:val="ListParagraph"/>
        <w:numPr>
          <w:ilvl w:val="0"/>
          <w:numId w:val="2"/>
        </w:numPr>
        <w:spacing w:after="20"/>
      </w:pPr>
      <w:r>
        <w:rPr>
          <w:rFonts w:ascii="Calibri" w:cs="Calibri" w:eastAsia="Calibri" w:hAnsi="Calibri"/>
          <w:sz w:val="20"/>
          <w:szCs w:val="20"/>
        </w:rPr>
        <w:t xml:space="preserve">Elke use case heeft een primaire actor.</w:t>
      </w:r>
    </w:p>
    <w:p>
      <w:pPr>
        <w:pStyle w:val="ListParagraph"/>
        <w:numPr>
          <w:ilvl w:val="0"/>
          <w:numId w:val="2"/>
        </w:numPr>
        <w:spacing w:after="20"/>
      </w:pPr>
      <w:r>
        <w:rPr>
          <w:rFonts w:ascii="Calibri" w:cs="Calibri" w:eastAsia="Calibri" w:hAnsi="Calibri"/>
          <w:sz w:val="20"/>
          <w:szCs w:val="20"/>
        </w:rPr>
        <w:t xml:space="preserve">De systeemgrens is eenduidig, inclusief wat erbuiten valt.</w:t>
      </w:r>
    </w:p>
    <w:p>
      <w:pPr>
        <w:pStyle w:val="ListParagraph"/>
        <w:numPr>
          <w:ilvl w:val="0"/>
          <w:numId w:val="2"/>
        </w:numPr>
        <w:spacing w:after="20"/>
      </w:pPr>
      <w:r>
        <w:rPr>
          <w:rFonts w:ascii="Calibri" w:cs="Calibri" w:eastAsia="Calibri" w:hAnsi="Calibri"/>
          <w:sz w:val="20"/>
          <w:szCs w:val="20"/>
        </w:rPr>
        <w:t xml:space="preserve">Actoren en belanghebbenden zijn niet door elkaar gehaald.</w:t>
      </w:r>
    </w:p>
    <w:p>
      <w:pPr>
        <w:pStyle w:val="ListParagraph"/>
        <w:numPr>
          <w:ilvl w:val="0"/>
          <w:numId w:val="2"/>
        </w:numPr>
        <w:spacing w:after="20"/>
      </w:pPr>
      <w:r>
        <w:rPr>
          <w:rFonts w:ascii="Calibri" w:cs="Calibri" w:eastAsia="Calibri" w:hAnsi="Calibri"/>
          <w:sz w:val="20"/>
          <w:szCs w:val="20"/>
        </w:rPr>
        <w:t xml:space="preserve">Per use case is ingeschat hoe risicovol en hoe stabiel hij is.</w:t>
      </w:r>
    </w:p>
    <w:p>
      <w:pPr>
        <w:pStyle w:val="ListParagraph"/>
        <w:numPr>
          <w:ilvl w:val="0"/>
          <w:numId w:val="2"/>
        </w:numPr>
        <w:spacing w:after="20"/>
      </w:pPr>
      <w:r>
        <w:rPr>
          <w:rFonts w:ascii="Calibri" w:cs="Calibri" w:eastAsia="Calibri" w:hAnsi="Calibri"/>
          <w:sz w:val="20"/>
          <w:szCs w:val="20"/>
        </w:rPr>
        <w:t xml:space="preserve">De begrippenlijst dekt de termen die in de use cases voorkomen.</w:t>
      </w:r>
    </w:p>
    <w:p>
      <w:pPr>
        <w:pStyle w:val="ListParagraph"/>
        <w:numPr>
          <w:ilvl w:val="0"/>
          <w:numId w:val="2"/>
        </w:numPr>
        <w:spacing w:after="20"/>
      </w:pPr>
      <w:r>
        <w:rPr>
          <w:rFonts w:ascii="Calibri" w:cs="Calibri" w:eastAsia="Calibri" w:hAnsi="Calibri"/>
          <w:sz w:val="20"/>
          <w:szCs w:val="20"/>
        </w:rPr>
        <w:t xml:space="preserve">De stakeholders herkennen de use cases als hun eigen werk.</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Use-casemodel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